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852D0" w:rsidRDefault="009A18DE" w:rsidP="009A18DE">
      <w:pPr>
        <w:pStyle w:val="Title"/>
        <w:spacing w:line="480" w:lineRule="auto"/>
      </w:pPr>
      <w:r>
        <w:t>Filipa’s first chapter</w:t>
      </w:r>
    </w:p>
    <w:p w:rsidR="009852D0" w:rsidRDefault="00CA7DD6" w:rsidP="009A18DE">
      <w:pPr>
        <w:pStyle w:val="Heading1"/>
        <w:spacing w:line="480" w:lineRule="auto"/>
      </w:pPr>
      <w:bookmarkStart w:id="0" w:name="chapter-summary"/>
      <w:r>
        <w:t>chapter summary</w:t>
      </w:r>
      <w:bookmarkEnd w:id="0"/>
    </w:p>
    <w:p w:rsidR="009852D0" w:rsidRDefault="00CA7DD6" w:rsidP="009A18DE">
      <w:pPr>
        <w:pStyle w:val="FirstParagraph"/>
        <w:spacing w:line="480" w:lineRule="auto"/>
      </w:pPr>
      <w:r>
        <w:t xml:space="preserve">This dissertation looks at new ways of reading </w:t>
      </w:r>
      <w:r>
        <w:rPr>
          <w:i/>
        </w:rPr>
        <w:t>queer bodies</w:t>
      </w:r>
      <w:r>
        <w:t xml:space="preserve"> and </w:t>
      </w:r>
      <w:r>
        <w:rPr>
          <w:i/>
        </w:rPr>
        <w:t>queer experience</w:t>
      </w:r>
      <w:r>
        <w:t xml:space="preserve"> within technological contexts. How do digital tools and </w:t>
      </w:r>
      <w:r>
        <w:t xml:space="preserve">platforms change the way we interact with affect (associated with queer experience and embodiment) within texts? What about the digital allows us to activate </w:t>
      </w:r>
      <w:r>
        <w:rPr>
          <w:i/>
        </w:rPr>
        <w:t>sensational</w:t>
      </w:r>
      <w:r>
        <w:t xml:space="preserve"> reading experiences? In other words, how does digital media interface with queerness?</w:t>
      </w:r>
    </w:p>
    <w:p w:rsidR="009852D0" w:rsidRDefault="00CA7DD6" w:rsidP="009A18DE">
      <w:pPr>
        <w:pStyle w:val="BodyText"/>
        <w:spacing w:line="480" w:lineRule="auto"/>
      </w:pPr>
      <w:r>
        <w:t>This chapter proposes a reading methodology that leverages the critic's relationship to the text to open possibilities for interpretation and connections to the textual material. It explores the ways that reading practices across two different fields (digi</w:t>
      </w:r>
      <w:r>
        <w:t>tal humanities and queer theory) intertwine, and how this creates a new method for reading queer narratives in digital contexts.</w:t>
      </w:r>
    </w:p>
    <w:p w:rsidR="009852D0" w:rsidRDefault="00CA7DD6" w:rsidP="009A18DE">
      <w:pPr>
        <w:pStyle w:val="Heading2"/>
        <w:spacing w:line="480" w:lineRule="auto"/>
      </w:pPr>
      <w:bookmarkStart w:id="1" w:name="queerness-the-digital-touch"/>
      <w:r>
        <w:t>Queerness, the Digital &amp; Touch</w:t>
      </w:r>
      <w:bookmarkEnd w:id="1"/>
    </w:p>
    <w:p w:rsidR="009852D0" w:rsidRDefault="00CA7DD6" w:rsidP="009A18DE">
      <w:pPr>
        <w:pStyle w:val="FirstParagraph"/>
        <w:spacing w:line="480" w:lineRule="auto"/>
      </w:pPr>
      <w:r>
        <w:t xml:space="preserve">If digital humanists and queer theorists are going to find some common ground, they might start </w:t>
      </w:r>
      <w:r>
        <w:t xml:space="preserve">with </w:t>
      </w:r>
      <w:r>
        <w:rPr>
          <w:i/>
        </w:rPr>
        <w:t>touch</w:t>
      </w:r>
      <w:r>
        <w:t>. Touch is a means of interfacing with the world, an encounter between subject and object, which signals a problem of access that applies to both electronic media and queer subjectivity. The root of the word digital, "digitus," comes from the Lat</w:t>
      </w:r>
      <w:r>
        <w:t xml:space="preserve">in word </w:t>
      </w:r>
      <w:r>
        <w:lastRenderedPageBreak/>
        <w:t>for finger or toe, and in electronic media, it refers to a counting system based on ten digits</w:t>
      </w:r>
      <w:r>
        <w:rPr>
          <w:rStyle w:val="FootnoteReference"/>
        </w:rPr>
        <w:footnoteReference w:id="1"/>
      </w:r>
      <w:r>
        <w:t>. Associations between the digital and touch evolve from numerical computation to include the haptic connections made through the intermediaries of mice</w:t>
      </w:r>
      <w:r>
        <w:t>, keyboards, and touch screens. Crucially, these intermediaries of digital media demonstrate that humans can only engage with data at a remove. Through layers of abstraction and formalization, computational media can be handled and manipulated. Moving to t</w:t>
      </w:r>
      <w:r>
        <w:t>he context of queerness, touch similarly points to a phenomenon of access. Like digital media, queer subjectivity is a raw content that cannot be known or engaged with directly, because queerness is not legible within the framework of heteronormativity. Th</w:t>
      </w:r>
      <w:r>
        <w:t>e expectation of heteronormativity precludes access to queer subjectivity. At the intersection of the digital and queerness, then, the phenomenon of touch indexes this problem of access.</w:t>
      </w:r>
    </w:p>
    <w:p w:rsidR="009852D0" w:rsidRDefault="00CA7DD6" w:rsidP="009A18DE">
      <w:pPr>
        <w:pStyle w:val="BodyText"/>
        <w:spacing w:line="480" w:lineRule="auto"/>
      </w:pPr>
      <w:r>
        <w:t>This examination assumes that both queerness and data are untouchable</w:t>
      </w:r>
      <w:r>
        <w:t xml:space="preserve"> except through the intermediary of abstraction. And it supposes that the parallels between data and queer subjectivity might coalesce into a reading method, which engages queer subject matter with digital media through the matrix of touch. Touch offers a </w:t>
      </w:r>
      <w:r>
        <w:t>means of knowing based on feeling that amplifies sensation beyond the readily sensible. A complicated thesis about touch which this chapter will unpack: touch operates by abstracting its object through the intermediary of the sensible. This process of abst</w:t>
      </w:r>
      <w:r>
        <w:t xml:space="preserve">raction compensates for the core condition of queerness, which is unknowable, and of digital media, which is a formalization of the inexpressible. In transforming inaccessible data into new form, </w:t>
      </w:r>
      <w:r>
        <w:rPr>
          <w:i/>
        </w:rPr>
        <w:t>queer forms</w:t>
      </w:r>
      <w:r>
        <w:t xml:space="preserve">, that run </w:t>
      </w:r>
      <w:r>
        <w:lastRenderedPageBreak/>
        <w:t>parallel and at times converge with di</w:t>
      </w:r>
      <w:r>
        <w:t>gital aesthetics, queerness can be sensualized and engaging. Touch is an orientation around reading that works by abstracting the senses to provide alternative possibilities and pathways for sensation.</w:t>
      </w:r>
    </w:p>
    <w:p w:rsidR="009852D0" w:rsidRDefault="00CA7DD6" w:rsidP="009A18DE">
      <w:pPr>
        <w:pStyle w:val="BodyText"/>
        <w:spacing w:line="480" w:lineRule="auto"/>
      </w:pPr>
      <w:r>
        <w:t xml:space="preserve">Two examples will serve to demonstrate that queerness </w:t>
      </w:r>
      <w:r>
        <w:t xml:space="preserve">is concerned with touch, and more precisely, with </w:t>
      </w:r>
      <w:r>
        <w:rPr>
          <w:i/>
        </w:rPr>
        <w:t>the desire for touching</w:t>
      </w:r>
      <w:r>
        <w:t xml:space="preserve"> which is continually frustrated. Both examples draw from a digital aesthetic, which I will elaborate as </w:t>
      </w:r>
      <w:r>
        <w:rPr>
          <w:i/>
        </w:rPr>
        <w:t>queer form</w:t>
      </w:r>
      <w:r>
        <w:t>, though one is from a digital source and the other from print. Alth</w:t>
      </w:r>
      <w:r>
        <w:t>ough the physical format of these sources matter, this is not my point. Rather, the relevant characteristics of queer form center on a self-consicous and critical stance about its own abstraction.</w:t>
      </w:r>
    </w:p>
    <w:p w:rsidR="009852D0" w:rsidRDefault="00CA7DD6" w:rsidP="009A18DE">
      <w:pPr>
        <w:pStyle w:val="BodyText"/>
        <w:spacing w:line="480" w:lineRule="auto"/>
      </w:pPr>
      <w:r>
        <w:t xml:space="preserve">The first text, entitled </w:t>
      </w:r>
      <w:r>
        <w:rPr>
          <w:i/>
        </w:rPr>
        <w:t>These Waves of Girls</w:t>
      </w:r>
      <w:r>
        <w:t xml:space="preserve"> by Caitlin Fi</w:t>
      </w:r>
      <w:r>
        <w:t xml:space="preserve">sher, figures touching as desire quite literally, with touch being the means of pursuing desire. This "hypertext," an electronic text format that links "nodes" or pages within an associative structure, enacts desire by tempting the reader to click through </w:t>
      </w:r>
      <w:r>
        <w:t xml:space="preserve">the various episodes of the story in order to achieve narrative closure. </w:t>
      </w:r>
      <w:r>
        <w:rPr>
          <w:i/>
        </w:rPr>
        <w:t>Waves</w:t>
      </w:r>
      <w:r>
        <w:t xml:space="preserve"> is an autobiographical account of the author's sexual coming-of-age, which unfolds in a series of interconnected vignettes that recount Fisher's adolescent experiences with men </w:t>
      </w:r>
      <w:r>
        <w:t>and women. Despite winning the 2001 Electronic Literature Organization Award, this "hypertext novella" draws much criticism for a formal structure complicates a straightforward reading experience. Through the profusion of hyperlinks, which connect one node</w:t>
      </w:r>
      <w:r>
        <w:t xml:space="preserve"> to the next in ways that disrupt temporal and causal relations, this hypertext frustrates the reader’s desire for narrative coherence. The relatively comfortable and conventional reading practice of turning the pages in a traditional codex dissolves in th</w:t>
      </w:r>
      <w:r>
        <w:t xml:space="preserve">e distracting and technical complexity of a narrative that requires effort to traverse. One </w:t>
      </w:r>
      <w:r>
        <w:lastRenderedPageBreak/>
        <w:t>critic argues that the use of hyperlinks “present[s] a baffling range of choices for movement which actually led to a stifling of movement altogether” (Pope, “Signi</w:t>
      </w:r>
      <w:r>
        <w:t>ficance”).</w:t>
      </w:r>
    </w:p>
    <w:p w:rsidR="009852D0" w:rsidRDefault="00CA7DD6" w:rsidP="009A18DE">
      <w:pPr>
        <w:pStyle w:val="CaptionedFigure"/>
        <w:spacing w:line="480" w:lineRule="auto"/>
      </w:pPr>
      <w:r>
        <w:rPr>
          <w:noProof/>
        </w:rPr>
        <w:drawing>
          <wp:inline distT="0" distB="0" distL="0" distR="0">
            <wp:extent cx="5334000" cy="3333750"/>
            <wp:effectExtent l="0" t="0" r="0" b="0"/>
            <wp:docPr id="1" name="Picture" descr="“DARE”, “I liked girls…”, “the lover”, “Only one of us is 15…”, “Jerk off…”"/>
            <wp:cNvGraphicFramePr/>
            <a:graphic xmlns:a="http://schemas.openxmlformats.org/drawingml/2006/main">
              <a:graphicData uri="http://schemas.openxmlformats.org/drawingml/2006/picture">
                <pic:pic xmlns:pic="http://schemas.openxmlformats.org/drawingml/2006/picture">
                  <pic:nvPicPr>
                    <pic:cNvPr id="0" name="Picture" descr="../qt_writings/one/videos/erotic.gif"/>
                    <pic:cNvPicPr>
                      <a:picLocks noChangeAspect="1" noChangeArrowheads="1"/>
                    </pic:cNvPicPr>
                  </pic:nvPicPr>
                  <pic:blipFill>
                    <a:blip r:embed="rId7"/>
                    <a:stretch>
                      <a:fillRect/>
                    </a:stretch>
                  </pic:blipFill>
                  <pic:spPr bwMode="auto">
                    <a:xfrm>
                      <a:off x="0" y="0"/>
                      <a:ext cx="5334000" cy="3333750"/>
                    </a:xfrm>
                    <a:prstGeom prst="rect">
                      <a:avLst/>
                    </a:prstGeom>
                    <a:noFill/>
                    <a:ln w="9525">
                      <a:noFill/>
                      <a:headEnd/>
                      <a:tailEnd/>
                    </a:ln>
                  </pic:spPr>
                </pic:pic>
              </a:graphicData>
            </a:graphic>
          </wp:inline>
        </w:drawing>
      </w:r>
    </w:p>
    <w:p w:rsidR="009852D0" w:rsidRDefault="00CA7DD6" w:rsidP="009A18DE">
      <w:pPr>
        <w:pStyle w:val="ImageCaption"/>
        <w:spacing w:line="480" w:lineRule="auto"/>
      </w:pPr>
      <w:r>
        <w:t>“DARE”, “I liked girls…”, “the lover”, “Only one of us is 15…”, “Jerk off…”</w:t>
      </w:r>
    </w:p>
    <w:p w:rsidR="009852D0" w:rsidRDefault="00CA7DD6" w:rsidP="009A18DE">
      <w:pPr>
        <w:pStyle w:val="BodyText"/>
        <w:spacing w:line="480" w:lineRule="auto"/>
      </w:pPr>
      <w:r>
        <w:t>The disorienting feeling of reading this text is an effect of its queer form. Episodes do not have a discernible chronology or progression, and clicking on the links b</w:t>
      </w:r>
      <w:r>
        <w:t>etween nodes disrupts any sense of coherence. While the desire for narrative closure is continually frustrated by the work's form, in another sense, this fragmentary structure exactly constitutes its appeal, for it compels the reader to chase an elusive un</w:t>
      </w:r>
      <w:r>
        <w:t>derstanding of sexuality. The text continually defies the reader’s expectations about the narrator's motives. In one repeatedly linked node, aptly titled “erotic,” we see “and it was the most erotic year of my life” march across the screen like ticker tape</w:t>
      </w:r>
      <w:r>
        <w:t xml:space="preserve"> (“And it was…”). This node is accessed through two different sources, both featuring sexual episodes between the </w:t>
      </w:r>
      <w:r>
        <w:lastRenderedPageBreak/>
        <w:t>narrator and men. In a novella that largely consists of stories about the narrator’s sexual history and fantasies with other women, these node</w:t>
      </w:r>
      <w:r>
        <w:t>s are unusual, checking the reader’s expectations about the narrator’s identity and desire. The accumulation of seemingly capricious sexual episodes disrupts the relationship between cause and effect, scrambling the reader's sense of direction across the t</w:t>
      </w:r>
      <w:r>
        <w:t>ext. Other moments in the text create a similar dissonance from the associations the narrator's motives. One occurs in the last node of the “beam routine” episode, when the narrator is about to perform gymnastics to placate a man that she brought home. The</w:t>
      </w:r>
      <w:r>
        <w:t xml:space="preserve"> link reads “I don’t want to have sex,” and it leads the reader back to a familiar episode about "Jennie Winchester":</w:t>
      </w:r>
    </w:p>
    <w:p w:rsidR="009852D0" w:rsidRDefault="00CA7DD6" w:rsidP="009A18DE">
      <w:pPr>
        <w:pStyle w:val="SourceCode"/>
        <w:wordWrap/>
        <w:spacing w:line="480" w:lineRule="auto"/>
      </w:pPr>
      <w:r>
        <w:rPr>
          <w:rStyle w:val="VerbatimChar"/>
        </w:rPr>
        <w:t xml:space="preserve">I'm in bed with Jennie Winchester and I realize she wants me to </w:t>
      </w:r>
      <w:r>
        <w:br/>
      </w:r>
      <w:r>
        <w:rPr>
          <w:rStyle w:val="VerbatimChar"/>
        </w:rPr>
        <w:t xml:space="preserve">undo her pants. She needs to be home by 11:00 and needs to leave </w:t>
      </w:r>
      <w:r>
        <w:br/>
      </w:r>
      <w:r>
        <w:rPr>
          <w:rStyle w:val="VerbatimChar"/>
        </w:rPr>
        <w:t>my plac</w:t>
      </w:r>
      <w:r>
        <w:rPr>
          <w:rStyle w:val="VerbatimChar"/>
        </w:rPr>
        <w:t xml:space="preserve">e by 10:45. I'm kissing her but opening my eyes at intervals </w:t>
      </w:r>
      <w:r>
        <w:br/>
      </w:r>
      <w:r>
        <w:rPr>
          <w:rStyle w:val="VerbatimChar"/>
        </w:rPr>
        <w:t xml:space="preserve">to catch the clock. At exactly 10:43 I unbutton her Levis and shove </w:t>
      </w:r>
      <w:r>
        <w:br/>
      </w:r>
      <w:r>
        <w:rPr>
          <w:rStyle w:val="VerbatimChar"/>
        </w:rPr>
        <w:t>my hand inside, barely undoing the zipper. "I'm in bed..."</w:t>
      </w:r>
    </w:p>
    <w:p w:rsidR="009852D0" w:rsidRDefault="00CA7DD6" w:rsidP="009A18DE">
      <w:pPr>
        <w:pStyle w:val="FirstParagraph"/>
        <w:spacing w:line="480" w:lineRule="auto"/>
      </w:pPr>
      <w:r>
        <w:t>Now the reader experiences this familiar node in a new way that ca</w:t>
      </w:r>
      <w:r>
        <w:t>sts its former meaning into doubt. Why is this episode linked from the phrase, "I don't want to have sex"? Why is the narrator watching the clock? What at first seems straightforward now appears to support alternate readings because the character's desires</w:t>
      </w:r>
      <w:r>
        <w:t xml:space="preserve"> have been muddled by the unpredictable connections between episodes. The reader’s confusion in navigating through </w:t>
      </w:r>
      <w:r>
        <w:rPr>
          <w:i/>
        </w:rPr>
        <w:t>Waves</w:t>
      </w:r>
      <w:r>
        <w:t xml:space="preserve"> reinforces queerness as something elusive, a condition that is not fully intelligible.</w:t>
      </w:r>
    </w:p>
    <w:p w:rsidR="009852D0" w:rsidRDefault="00CA7DD6" w:rsidP="009A18DE">
      <w:pPr>
        <w:pStyle w:val="BodyText"/>
        <w:spacing w:line="480" w:lineRule="auto"/>
      </w:pPr>
      <w:r>
        <w:t>The frustration of touch activates a sensorium o</w:t>
      </w:r>
      <w:r>
        <w:t xml:space="preserve">f queer affects. For queer subjects, touch and the desire for touching has always been a frought experience. In my second example, </w:t>
      </w:r>
      <w:r>
        <w:rPr>
          <w:i/>
        </w:rPr>
        <w:lastRenderedPageBreak/>
        <w:t>The Confessions of the Fox</w:t>
      </w:r>
      <w:r>
        <w:t xml:space="preserve"> by Jordy Rosenberg, the main character exhibits a troubled relationship to touch which in part con</w:t>
      </w:r>
      <w:r>
        <w:t>stitutes his subjectivity. Set in eighteenth century London, this story follows Jack Sheppard, a young transgender male as a wily thief amid a group of "rogues." Before the official pathologization of nonnormative desires and identities, Sheppard struggles</w:t>
      </w:r>
      <w:r>
        <w:t xml:space="preserve"> to articulate his difference, what he calls his "</w:t>
      </w:r>
      <w:r>
        <w:rPr>
          <w:i/>
        </w:rPr>
        <w:t>Something</w:t>
      </w:r>
      <w:r>
        <w:t>," from the rest of London: "This something that set him apart from other coves [men]. Something that had caus'd him to dress his own chest in taut bandages… pinching at his ribs, throttling his ev</w:t>
      </w:r>
      <w:r>
        <w:t>ery Breath to a forced shallow bird-sipping of the air" (33). The hesitance toward self-identification extends from the main character to the narrative's genre, which unfolds as historical fiction overlaid with contemporary fictional memoir. Sheppard's sto</w:t>
      </w:r>
      <w:r>
        <w:t>ry is discovered in the present day by Dr. Voth, a rueful academic who is also transgender. Voth immediately recognizes the historical significance of Sheppard's manuscript, and he proceeds to annotate the document with relevant references and increasingly</w:t>
      </w:r>
      <w:r>
        <w:t>, his own tangential anecdotes. In one scene of the manuscript, Sheppard is having a romantic moment when Voth relates his own episode about a former lover:</w:t>
      </w:r>
    </w:p>
    <w:p w:rsidR="009852D0" w:rsidRDefault="00CA7DD6" w:rsidP="009A18DE">
      <w:pPr>
        <w:pStyle w:val="SourceCode"/>
        <w:wordWrap/>
        <w:spacing w:line="480" w:lineRule="auto"/>
      </w:pPr>
      <w:r>
        <w:rPr>
          <w:rStyle w:val="VerbatimChar"/>
        </w:rPr>
        <w:t>She opened her legs a bit, twitched them open, really. I caught my</w:t>
      </w:r>
      <w:r>
        <w:br/>
      </w:r>
      <w:r>
        <w:rPr>
          <w:rStyle w:val="VerbatimChar"/>
        </w:rPr>
        <w:t>breath, audibly.</w:t>
      </w:r>
      <w:r>
        <w:br/>
      </w:r>
      <w:r>
        <w:rPr>
          <w:rStyle w:val="VerbatimChar"/>
        </w:rPr>
        <w:t>"Oh my god," sh</w:t>
      </w:r>
      <w:r>
        <w:rPr>
          <w:rStyle w:val="VerbatimChar"/>
        </w:rPr>
        <w:t>e said, "you're such a lesbian."</w:t>
      </w:r>
      <w:r>
        <w:br/>
      </w:r>
      <w:r>
        <w:rPr>
          <w:rStyle w:val="VerbatimChar"/>
        </w:rPr>
        <w:t>She didn\'t mean it cruelly. And she didn\'t mean that I wasn\'t</w:t>
      </w:r>
      <w:r>
        <w:br/>
      </w:r>
      <w:r>
        <w:rPr>
          <w:rStyle w:val="VerbatimChar"/>
        </w:rPr>
        <w:t>passing as a cis-man, either. Although, since according to her we\'d</w:t>
      </w:r>
      <w:r>
        <w:br/>
      </w:r>
      <w:r>
        <w:rPr>
          <w:rStyle w:val="VerbatimChar"/>
        </w:rPr>
        <w:t>fucked the night before, she knew exactly how un-cis I was.</w:t>
      </w:r>
      <w:r>
        <w:br/>
      </w:r>
      <w:r>
        <w:rPr>
          <w:rStyle w:val="VerbatimChar"/>
        </w:rPr>
        <w:t>She meant that she saw someth</w:t>
      </w:r>
      <w:r>
        <w:rPr>
          <w:rStyle w:val="VerbatimChar"/>
        </w:rPr>
        <w:t>ing about the quality of my desire: that</w:t>
      </w:r>
      <w:r>
        <w:br/>
      </w:r>
      <w:r>
        <w:rPr>
          <w:rStyle w:val="VerbatimChar"/>
        </w:rPr>
        <w:t>I could feel her even before I touched her. And that this was part of</w:t>
      </w:r>
      <w:r>
        <w:br/>
      </w:r>
      <w:r>
        <w:rPr>
          <w:rStyle w:val="VerbatimChar"/>
        </w:rPr>
        <w:lastRenderedPageBreak/>
        <w:t>what it meant to be---or to have been, before my tits became property</w:t>
      </w:r>
      <w:r>
        <w:br/>
      </w:r>
      <w:r>
        <w:rPr>
          <w:rStyle w:val="VerbatimChar"/>
        </w:rPr>
        <w:t>of the California Municipal Waste Department---a lesbian. That a woman</w:t>
      </w:r>
      <w:r>
        <w:br/>
      </w:r>
      <w:r>
        <w:rPr>
          <w:rStyle w:val="VerbatimChar"/>
        </w:rPr>
        <w:t>movi</w:t>
      </w:r>
      <w:r>
        <w:rPr>
          <w:rStyle w:val="VerbatimChar"/>
        </w:rPr>
        <w:t>ng in your line of sight could have an effect that was total,</w:t>
      </w:r>
      <w:r>
        <w:br/>
      </w:r>
      <w:r>
        <w:rPr>
          <w:rStyle w:val="VerbatimChar"/>
        </w:rPr>
        <w:t>atmospheric. That you could be hesitant, incapable, and not</w:t>
      </w:r>
      <w:r>
        <w:br/>
      </w:r>
      <w:r>
        <w:rPr>
          <w:rStyle w:val="VerbatimChar"/>
        </w:rPr>
        <w:t>particularly interested in establishing a line between touching and</w:t>
      </w:r>
      <w:r>
        <w:br/>
      </w:r>
      <w:r>
        <w:rPr>
          <w:rStyle w:val="VerbatimChar"/>
        </w:rPr>
        <w:t>seeing. That you would indulge a dead love, dead in the eyes of th</w:t>
      </w:r>
      <w:r>
        <w:rPr>
          <w:rStyle w:val="VerbatimChar"/>
        </w:rPr>
        <w:t>e</w:t>
      </w:r>
      <w:r>
        <w:br/>
      </w:r>
      <w:r>
        <w:rPr>
          <w:rStyle w:val="VerbatimChar"/>
        </w:rPr>
        <w:t>world, and valueless. A love that choked and burdened the mind, that</w:t>
      </w:r>
      <w:r>
        <w:br/>
      </w:r>
      <w:r>
        <w:rPr>
          <w:rStyle w:val="VerbatimChar"/>
        </w:rPr>
        <w:t>might even be the very foundation of melancholy and despair. But, oh</w:t>
      </w:r>
      <w:r>
        <w:br/>
      </w:r>
      <w:r>
        <w:rPr>
          <w:rStyle w:val="VerbatimChar"/>
        </w:rPr>
        <w:t>Reader, looking at a woman you really get a feel for the way that fire</w:t>
      </w:r>
      <w:r>
        <w:br/>
      </w:r>
      <w:r>
        <w:rPr>
          <w:rStyle w:val="VerbatimChar"/>
        </w:rPr>
        <w:t>is a phenomenon of touch. And my point is, if you have every been a</w:t>
      </w:r>
      <w:r>
        <w:br/>
      </w:r>
      <w:r>
        <w:rPr>
          <w:rStyle w:val="VerbatimChar"/>
        </w:rPr>
        <w:t>lesbian, you will not even have to touch a woman to know that. 169</w:t>
      </w:r>
    </w:p>
    <w:p w:rsidR="009852D0" w:rsidRDefault="00CA7DD6" w:rsidP="009A18DE">
      <w:pPr>
        <w:pStyle w:val="FirstParagraph"/>
        <w:spacing w:line="480" w:lineRule="auto"/>
      </w:pPr>
      <w:r>
        <w:t>Here, desire is characterised not by the search fo</w:t>
      </w:r>
      <w:r>
        <w:t>r satisfaction, or the success of establishing contact, but by the sensual fullness of a lack. The experience of desire, of craving, wanting, needing to touch the desired object stimulates the imagination and amplifies sensations that would otherwise be re</w:t>
      </w:r>
      <w:r>
        <w:t>placed with more "direct" modes of contact. The lover's reference to Dr. Voth as "such a lesbian" brings this distinction about physical and imaginary contact to the realm of identity, reinforcing the interplay between imaginary and real when it comes to t</w:t>
      </w:r>
      <w:r>
        <w:t>ouch. Though Dr. Voth is not a lesbian, the term fits because it signals not a gender or sexual identity but a sensuality that is more concerned with the potential of connection rather than verifiable contact. The appellation hinges on the role of the imag</w:t>
      </w:r>
      <w:r>
        <w:t>ination in activating certain sensations–"total," "atmospheric"—that supercede those in the actualized world. Therefore, Dr. Voth's visual fancy takes on connotations of the fanciful. But this does not mean the sensations resulting from this desire are any</w:t>
      </w:r>
      <w:r>
        <w:t xml:space="preserve"> less palpable. On the contrary, such a desire maximizes physical experience: </w:t>
      </w:r>
      <w:r>
        <w:lastRenderedPageBreak/>
        <w:t>it is a desire for something that, because it cannot or will not be fulfilled, amplifies the fullness of that desire. This mode of desiring is what characterizes queerness in the</w:t>
      </w:r>
      <w:r>
        <w:t xml:space="preserve"> text. Here, touch, or the lack of touch, defines a peculiarly queer subjectivity.</w:t>
      </w:r>
    </w:p>
    <w:p w:rsidR="009852D0" w:rsidRDefault="00CA7DD6" w:rsidP="009A18DE">
      <w:pPr>
        <w:pStyle w:val="BodyText"/>
        <w:spacing w:line="480" w:lineRule="auto"/>
      </w:pPr>
      <w:r>
        <w:t xml:space="preserve">In both </w:t>
      </w:r>
      <w:r>
        <w:rPr>
          <w:i/>
        </w:rPr>
        <w:t>Waves</w:t>
      </w:r>
      <w:r>
        <w:t xml:space="preserve"> and </w:t>
      </w:r>
      <w:r>
        <w:rPr>
          <w:i/>
        </w:rPr>
        <w:t>Confessions</w:t>
      </w:r>
      <w:r>
        <w:t>, queerness is constituted by a troubled relationship to touch, reinforcing queerness as something that cannot be grasped or is beyond grasp. In</w:t>
      </w:r>
      <w:r>
        <w:t xml:space="preserve"> </w:t>
      </w:r>
      <w:r>
        <w:rPr>
          <w:i/>
        </w:rPr>
        <w:t>Waves</w:t>
      </w:r>
      <w:r>
        <w:t xml:space="preserve">, touch is the continually frustrated means for traversing the narrative: clicking her way though the nodes, the reader fails to grasp the arc of the story or the intentions of the narrator. In </w:t>
      </w:r>
      <w:r>
        <w:rPr>
          <w:i/>
        </w:rPr>
        <w:t>Confessions</w:t>
      </w:r>
      <w:r>
        <w:t>, denying touch casts queer identity as somet</w:t>
      </w:r>
      <w:r>
        <w:t xml:space="preserve">hing beyond categorization. Maintaining the gap between sight and touch stimulates the senses beyond what's possible within normative expectations of sexual desire. This condition of inaccessibility gestures at an affect of suspension or displacement that </w:t>
      </w:r>
      <w:r>
        <w:t>is central to the experience of queerness, an affect that I call the "untouchable," which we now explore in depth.</w:t>
      </w:r>
    </w:p>
    <w:p w:rsidR="009852D0" w:rsidRDefault="00CA7DD6" w:rsidP="009A18DE">
      <w:pPr>
        <w:pStyle w:val="BodyText"/>
        <w:spacing w:line="480" w:lineRule="auto"/>
      </w:pPr>
      <w:r>
        <w:t xml:space="preserve">The idea of the "untouchable" builds off queer theorists who have isolated a queer experience of displacement, estrangement, or a feeling of </w:t>
      </w:r>
      <w:r>
        <w:t>a lack that creates a space for emergent affects. This experience derives from the political and social environment that attempts to erase the existence of minorty subjects, particularly queer people of color. Even as LGBT groups appear to gain more visibi</w:t>
      </w:r>
      <w:r>
        <w:t>ly and acceptance, such gains are trapped within the limiting, normative time of the present. In response to this, José Esteban Muñoz defines queerness as a desire, a "longing that propels us onward," for what is "not yet here." Muñoz explains:</w:t>
      </w:r>
    </w:p>
    <w:p w:rsidR="009852D0" w:rsidRDefault="00CA7DD6" w:rsidP="009A18DE">
      <w:pPr>
        <w:pStyle w:val="SourceCode"/>
        <w:wordWrap/>
        <w:spacing w:line="480" w:lineRule="auto"/>
      </w:pPr>
      <w:r>
        <w:rPr>
          <w:rStyle w:val="VerbatimChar"/>
        </w:rPr>
        <w:lastRenderedPageBreak/>
        <w:t>Queerness i</w:t>
      </w:r>
      <w:r>
        <w:rPr>
          <w:rStyle w:val="VerbatimChar"/>
        </w:rPr>
        <w:t>s *a structuring and educated mode of desiring* that allows</w:t>
      </w:r>
      <w:r>
        <w:br/>
      </w:r>
      <w:r>
        <w:rPr>
          <w:rStyle w:val="VerbatimChar"/>
        </w:rPr>
        <w:t>us to see and feel beyond the quagmire of the present... Queerness is</w:t>
      </w:r>
      <w:r>
        <w:br/>
      </w:r>
      <w:r>
        <w:rPr>
          <w:rStyle w:val="VerbatimChar"/>
        </w:rPr>
        <w:t>a longing that propels us onward, beyond romances of the negative and</w:t>
      </w:r>
      <w:r>
        <w:br/>
      </w:r>
      <w:r>
        <w:rPr>
          <w:rStyle w:val="VerbatimChar"/>
        </w:rPr>
        <w:t>toiling in the present. Queerness is that thing that let</w:t>
      </w:r>
      <w:r>
        <w:rPr>
          <w:rStyle w:val="VerbatimChar"/>
        </w:rPr>
        <w:t>s us feel that</w:t>
      </w:r>
      <w:r>
        <w:br/>
      </w:r>
      <w:r>
        <w:rPr>
          <w:rStyle w:val="VerbatimChar"/>
        </w:rPr>
        <w:t>this world is not enough, that indeed something is missing. Emphasis</w:t>
      </w:r>
      <w:r>
        <w:br/>
      </w:r>
      <w:r>
        <w:rPr>
          <w:rStyle w:val="VerbatimChar"/>
        </w:rPr>
        <w:t>mine, *Cruising Utopia* 1</w:t>
      </w:r>
    </w:p>
    <w:p w:rsidR="009852D0" w:rsidRDefault="00CA7DD6" w:rsidP="009A18DE">
      <w:pPr>
        <w:pStyle w:val="FirstParagraph"/>
        <w:spacing w:line="480" w:lineRule="auto"/>
      </w:pPr>
      <w:r>
        <w:t>The ontological nature of queerness is founded in a lack, in a vacuum. Rather than strive that missing thing, or a forward-looking, future-oriente</w:t>
      </w:r>
      <w:r>
        <w:t>d desire, "not yet here" indicates an emanant quality situated within the present. Because queerness is "not yet here," it calls for something else, for something that "allows us to see and feel beyond the quagmire of the present," opening a space for emer</w:t>
      </w:r>
      <w:r>
        <w:t>gent affects. In other words, queerness expands a sensibility of feeling to include sensations beyond the immediate, the readily sensible.</w:t>
      </w:r>
    </w:p>
    <w:p w:rsidR="009852D0" w:rsidRDefault="00CA7DD6" w:rsidP="009A18DE">
      <w:pPr>
        <w:pStyle w:val="Heading1"/>
        <w:spacing w:line="480" w:lineRule="auto"/>
      </w:pPr>
      <w:bookmarkStart w:id="2" w:name="footnotes"/>
      <w:r>
        <w:t>Footnotes</w:t>
      </w:r>
      <w:bookmarkEnd w:id="2"/>
    </w:p>
    <w:sectPr w:rsidR="009852D0">
      <w:footerReference w:type="even" r:id="rId8"/>
      <w:footerReference w:type="default" r:id="rId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A7DD6" w:rsidRDefault="00CA7DD6">
      <w:pPr>
        <w:spacing w:after="0"/>
      </w:pPr>
      <w:r>
        <w:separator/>
      </w:r>
    </w:p>
  </w:endnote>
  <w:endnote w:type="continuationSeparator" w:id="0">
    <w:p w:rsidR="00CA7DD6" w:rsidRDefault="00CA7D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6120811"/>
      <w:docPartObj>
        <w:docPartGallery w:val="Page Numbers (Bottom of Page)"/>
        <w:docPartUnique/>
      </w:docPartObj>
    </w:sdtPr>
    <w:sdtContent>
      <w:p w:rsidR="009A18DE" w:rsidRDefault="009A18DE" w:rsidP="00273C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A18DE" w:rsidRDefault="009A18DE" w:rsidP="009A18D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6862186"/>
      <w:docPartObj>
        <w:docPartGallery w:val="Page Numbers (Bottom of Page)"/>
        <w:docPartUnique/>
      </w:docPartObj>
    </w:sdtPr>
    <w:sdtContent>
      <w:p w:rsidR="009A18DE" w:rsidRDefault="009A18DE" w:rsidP="00273C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A18DE" w:rsidRDefault="009A18DE" w:rsidP="009A18D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A7DD6" w:rsidRDefault="00CA7DD6">
      <w:r>
        <w:separator/>
      </w:r>
    </w:p>
  </w:footnote>
  <w:footnote w:type="continuationSeparator" w:id="0">
    <w:p w:rsidR="00CA7DD6" w:rsidRDefault="00CA7DD6">
      <w:r>
        <w:continuationSeparator/>
      </w:r>
    </w:p>
  </w:footnote>
  <w:footnote w:id="1">
    <w:p w:rsidR="009852D0" w:rsidRDefault="00CA7DD6">
      <w:pPr>
        <w:pStyle w:val="FootnoteText"/>
      </w:pPr>
      <w:r>
        <w:rPr>
          <w:rStyle w:val="FootnoteReference"/>
        </w:rPr>
        <w:footnoteRef/>
      </w:r>
      <w:r>
        <w:t xml:space="preserve"> </w:t>
      </w:r>
      <w:r>
        <w:t xml:space="preserve">Although digital computation runs on data in the form of these numerical digits, computer language, at the most rudimentary level, is based on a binary counting system, on ones and zeroes. (citation to Sadie Plant's </w:t>
      </w:r>
      <w:r>
        <w:rPr>
          <w:i/>
        </w:rPr>
        <w:t>Zeroes and Ones</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B4A6D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8D6863"/>
    <w:rsid w:val="009852D0"/>
    <w:rsid w:val="009A18DE"/>
    <w:rsid w:val="00B86B75"/>
    <w:rsid w:val="00BC48D5"/>
    <w:rsid w:val="00C36279"/>
    <w:rsid w:val="00CA7DD6"/>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003B6"/>
  <w15:docId w15:val="{9B032C92-071B-074E-A710-F37421938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unhideWhenUsed/>
    <w:rsid w:val="009A18DE"/>
    <w:pPr>
      <w:tabs>
        <w:tab w:val="center" w:pos="4680"/>
        <w:tab w:val="right" w:pos="9360"/>
      </w:tabs>
      <w:spacing w:after="0"/>
    </w:pPr>
  </w:style>
  <w:style w:type="character" w:customStyle="1" w:styleId="FooterChar">
    <w:name w:val="Footer Char"/>
    <w:basedOn w:val="DefaultParagraphFont"/>
    <w:link w:val="Footer"/>
    <w:rsid w:val="009A18DE"/>
  </w:style>
  <w:style w:type="character" w:styleId="PageNumber">
    <w:name w:val="page number"/>
    <w:basedOn w:val="DefaultParagraphFont"/>
    <w:semiHidden/>
    <w:unhideWhenUsed/>
    <w:rsid w:val="009A1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9</Pages>
  <Words>2094</Words>
  <Characters>11938</Characters>
  <Application>Microsoft Office Word</Application>
  <DocSecurity>0</DocSecurity>
  <Lines>99</Lines>
  <Paragraphs>28</Paragraphs>
  <ScaleCrop>false</ScaleCrop>
  <Company/>
  <LinksUpToDate>false</LinksUpToDate>
  <CharactersWithSpaces>14004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
  <cp:keywords/>
  <cp:lastModifiedBy>Microsoft Office User</cp:lastModifiedBy>
  <cp:revision>2</cp:revision>
  <dcterms:created xsi:type="dcterms:W3CDTF">2020-08-18T16:56:00Z</dcterms:created>
  <dcterms:modified xsi:type="dcterms:W3CDTF">2020-08-18T16:57:00Z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yout">
    <vt:lpwstr>page</vt:lpwstr>
  </property>
  <property fmtid="{D5CDD505-2E9C-101B-9397-08002B2CF9AE}" pid="3" name="permalink">
    <vt:lpwstr>/chapter_1/</vt:lpwstr>
  </property>
</Properties>
</file>